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CE7C73">
        <w:rPr>
          <w:b/>
          <w:sz w:val="26"/>
        </w:rPr>
        <w:t>7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CE7C73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CE7C73">
              <w:rPr>
                <w:sz w:val="28"/>
                <w:szCs w:val="28"/>
              </w:rPr>
              <w:t>30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CE7C73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CE7C73" w:rsidRPr="00CE7C73">
              <w:rPr>
                <w:sz w:val="28"/>
                <w:szCs w:val="28"/>
              </w:rPr>
              <w:t>3</w:t>
            </w:r>
            <w:r w:rsidR="00B47FF1" w:rsidRPr="00CE7C73">
              <w:rPr>
                <w:sz w:val="28"/>
                <w:szCs w:val="28"/>
              </w:rPr>
              <w:t>/</w:t>
            </w:r>
            <w:r w:rsidR="00CE7C73" w:rsidRPr="00CE7C73">
              <w:rPr>
                <w:sz w:val="28"/>
                <w:szCs w:val="28"/>
              </w:rPr>
              <w:t>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CE7C73">
        <w:rPr>
          <w:b/>
          <w:sz w:val="28"/>
          <w:szCs w:val="28"/>
        </w:rPr>
        <w:t>Лощинскому</w:t>
      </w:r>
      <w:proofErr w:type="spellEnd"/>
      <w:r w:rsidR="00CE7C73">
        <w:rPr>
          <w:b/>
          <w:sz w:val="28"/>
          <w:szCs w:val="28"/>
        </w:rPr>
        <w:t xml:space="preserve"> Олегу Николаевичу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CE7C73">
        <w:rPr>
          <w:b/>
          <w:sz w:val="28"/>
          <w:szCs w:val="28"/>
        </w:rPr>
        <w:t>7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CE7C73">
        <w:rPr>
          <w:sz w:val="28"/>
          <w:szCs w:val="28"/>
        </w:rPr>
        <w:t>7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CE7C73">
        <w:rPr>
          <w:sz w:val="28"/>
          <w:szCs w:val="28"/>
        </w:rPr>
        <w:t>Лощинскому</w:t>
      </w:r>
      <w:proofErr w:type="spellEnd"/>
      <w:r w:rsidR="00CE7C73">
        <w:rPr>
          <w:sz w:val="28"/>
          <w:szCs w:val="28"/>
        </w:rPr>
        <w:t xml:space="preserve"> Олегу Николаевичу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CE7C73">
        <w:rPr>
          <w:sz w:val="28"/>
          <w:szCs w:val="28"/>
        </w:rPr>
        <w:t>7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CE7C73">
        <w:rPr>
          <w:sz w:val="28"/>
          <w:szCs w:val="28"/>
        </w:rPr>
        <w:t>Лощинскому</w:t>
      </w:r>
      <w:proofErr w:type="spellEnd"/>
      <w:r w:rsidR="00CE7C73">
        <w:rPr>
          <w:sz w:val="28"/>
          <w:szCs w:val="28"/>
        </w:rPr>
        <w:t xml:space="preserve"> Олегу Николаевичу</w:t>
      </w:r>
      <w:r>
        <w:rPr>
          <w:sz w:val="28"/>
          <w:szCs w:val="28"/>
        </w:rPr>
        <w:t xml:space="preserve"> 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CE7C73">
        <w:rPr>
          <w:sz w:val="28"/>
          <w:szCs w:val="28"/>
        </w:rPr>
        <w:t>7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</w:t>
      </w:r>
      <w:bookmarkStart w:id="0" w:name="_GoBack"/>
      <w:bookmarkEnd w:id="0"/>
      <w:r>
        <w:rPr>
          <w:sz w:val="28"/>
          <w:szCs w:val="28"/>
        </w:rPr>
        <w:t>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CE7C73" w:rsidP="00CE7C73">
            <w:pPr>
              <w:jc w:val="right"/>
              <w:rPr>
                <w:sz w:val="28"/>
                <w:szCs w:val="28"/>
              </w:rPr>
            </w:pPr>
            <w:r w:rsidRPr="00CE7C73">
              <w:rPr>
                <w:sz w:val="28"/>
                <w:szCs w:val="28"/>
              </w:rPr>
              <w:t xml:space="preserve">М.Ю. </w:t>
            </w:r>
            <w:proofErr w:type="spellStart"/>
            <w:r w:rsidRPr="00CE7C73">
              <w:rPr>
                <w:sz w:val="28"/>
                <w:szCs w:val="28"/>
              </w:rPr>
              <w:t>Пидстрела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CE7C73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Пидстрела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CE7C73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557B17"/>
    <w:rsid w:val="006577C6"/>
    <w:rsid w:val="00956EE5"/>
    <w:rsid w:val="00A83395"/>
    <w:rsid w:val="00B47FF1"/>
    <w:rsid w:val="00B92FD5"/>
    <w:rsid w:val="00B963EC"/>
    <w:rsid w:val="00C244C7"/>
    <w:rsid w:val="00CE7C73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02C7"/>
  <w15:docId w15:val="{C4BE4EF4-7577-4FF3-82C9-43B0A238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Татьяна Гордюшина</cp:lastModifiedBy>
  <cp:revision>4</cp:revision>
  <dcterms:created xsi:type="dcterms:W3CDTF">2025-06-27T03:29:00Z</dcterms:created>
  <dcterms:modified xsi:type="dcterms:W3CDTF">2025-07-30T12:09:00Z</dcterms:modified>
</cp:coreProperties>
</file>